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727509" w:rsidP="009F7EF4">
      <w:pPr>
        <w:jc w:val="center"/>
        <w:rPr>
          <w:b/>
          <w:sz w:val="20"/>
          <w:szCs w:val="20"/>
          <w:u w:val="single"/>
          <w:lang w:val="es-MX"/>
        </w:rPr>
      </w:pPr>
      <w:r w:rsidRPr="00D745B0">
        <w:rPr>
          <w:b/>
          <w:sz w:val="20"/>
          <w:szCs w:val="20"/>
          <w:u w:val="single"/>
          <w:lang w:val="es-CR"/>
        </w:rPr>
        <w:t xml:space="preserve">Caso </w:t>
      </w:r>
      <w:r w:rsidR="00B02373">
        <w:rPr>
          <w:b/>
          <w:sz w:val="20"/>
          <w:szCs w:val="20"/>
          <w:u w:val="single"/>
          <w:lang w:val="es-CR"/>
        </w:rPr>
        <w:t>de los Buzos Miskitos (Lemoth Morris y otros)</w:t>
      </w:r>
      <w:r w:rsidRPr="00D745B0">
        <w:rPr>
          <w:b/>
          <w:sz w:val="20"/>
          <w:szCs w:val="20"/>
          <w:u w:val="single"/>
          <w:lang w:val="es-CR"/>
        </w:rPr>
        <w:t xml:space="preserve"> Vs. Honduras</w:t>
      </w:r>
      <w:r>
        <w:rPr>
          <w:b/>
          <w:sz w:val="20"/>
          <w:szCs w:val="20"/>
          <w:u w:val="single"/>
          <w:lang w:val="es-MX"/>
        </w:rPr>
        <w:t xml:space="preserve">: </w:t>
      </w:r>
      <w:r w:rsidR="009F7EF4" w:rsidRPr="00296F77">
        <w:rPr>
          <w:b/>
          <w:sz w:val="20"/>
          <w:szCs w:val="20"/>
          <w:u w:val="single"/>
          <w:lang w:val="es-MX"/>
        </w:rPr>
        <w:t>reparaciones pendientes de cumplimiento</w:t>
      </w:r>
    </w:p>
    <w:p w:rsidR="006E7F48" w:rsidRPr="00296F77" w:rsidRDefault="00E56346"/>
    <w:p w:rsidR="00296F77" w:rsidRDefault="00296F77" w:rsidP="00296F77">
      <w:pPr>
        <w:tabs>
          <w:tab w:val="left" w:pos="709"/>
        </w:tabs>
        <w:ind w:right="99"/>
        <w:jc w:val="both"/>
      </w:pPr>
    </w:p>
    <w:p w:rsidR="00B02373" w:rsidRPr="00B02373" w:rsidRDefault="00626793" w:rsidP="00626793">
      <w:pPr>
        <w:tabs>
          <w:tab w:val="left" w:pos="720"/>
        </w:tabs>
        <w:ind w:right="-90"/>
        <w:jc w:val="both"/>
        <w:rPr>
          <w:sz w:val="20"/>
          <w:szCs w:val="20"/>
        </w:rPr>
      </w:pPr>
      <w:r w:rsidRPr="00B02373">
        <w:rPr>
          <w:rFonts w:eastAsia="Cambria" w:cs="Times New Roman"/>
          <w:bCs/>
          <w:sz w:val="20"/>
          <w:szCs w:val="20"/>
          <w:lang w:val="es-ES"/>
        </w:rPr>
        <w:t>1.</w:t>
      </w:r>
      <w:r w:rsidRPr="00B02373">
        <w:rPr>
          <w:rFonts w:eastAsia="Cambria" w:cs="Times New Roman"/>
          <w:bCs/>
          <w:sz w:val="20"/>
          <w:szCs w:val="20"/>
          <w:lang w:val="es-ES"/>
        </w:rPr>
        <w:tab/>
      </w:r>
      <w:r w:rsidR="00B02373" w:rsidRPr="00B02373">
        <w:rPr>
          <w:sz w:val="20"/>
          <w:szCs w:val="20"/>
        </w:rPr>
        <w:t xml:space="preserve">Brindará la atención médica y psicológica integral y especializada a las víctimas del caso y sus familiares, en los términos señalados en el párrafo 116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2.</w:t>
      </w:r>
      <w:r>
        <w:rPr>
          <w:sz w:val="20"/>
          <w:szCs w:val="20"/>
        </w:rPr>
        <w:tab/>
      </w:r>
      <w:r w:rsidRPr="00B02373">
        <w:rPr>
          <w:sz w:val="20"/>
          <w:szCs w:val="20"/>
        </w:rPr>
        <w:t xml:space="preserve">Concederá las becas educativas para las víctimas, sus hijas e hijos, nietas o nietos, en los términos señalados en el párrafo 117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3.</w:t>
      </w:r>
      <w:r>
        <w:rPr>
          <w:sz w:val="20"/>
          <w:szCs w:val="20"/>
        </w:rPr>
        <w:tab/>
      </w:r>
      <w:r w:rsidRPr="00B02373">
        <w:rPr>
          <w:sz w:val="20"/>
          <w:szCs w:val="20"/>
        </w:rPr>
        <w:t xml:space="preserve">Establecerá un programa de proyectos productivos para las víctimas y sus familiares, en los términos señalados en el párrafo 118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4.</w:t>
      </w:r>
      <w:r>
        <w:rPr>
          <w:sz w:val="20"/>
          <w:szCs w:val="20"/>
        </w:rPr>
        <w:tab/>
      </w:r>
      <w:r w:rsidRPr="00B02373">
        <w:rPr>
          <w:sz w:val="20"/>
          <w:szCs w:val="20"/>
        </w:rPr>
        <w:t xml:space="preserve">Entregará viviendas a las víctimas y sus familiares, en los términos señalados en el párrafo 119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5.</w:t>
      </w:r>
      <w:r>
        <w:rPr>
          <w:sz w:val="20"/>
          <w:szCs w:val="20"/>
        </w:rPr>
        <w:tab/>
      </w:r>
      <w:r w:rsidRPr="00B02373">
        <w:rPr>
          <w:sz w:val="20"/>
          <w:szCs w:val="20"/>
        </w:rPr>
        <w:t xml:space="preserve">Elaborará y difundirá un documental televisivo sobre los buzos miskitos, en los términos señalados en el párrafo 120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6.</w:t>
      </w:r>
      <w:r>
        <w:rPr>
          <w:sz w:val="20"/>
          <w:szCs w:val="20"/>
        </w:rPr>
        <w:tab/>
      </w:r>
      <w:r w:rsidRPr="00B02373">
        <w:rPr>
          <w:sz w:val="20"/>
          <w:szCs w:val="20"/>
        </w:rPr>
        <w:t xml:space="preserve">Realizará un acto público de reconocimiento de responsabilidad internacional, de desagravio y compromiso de no repetición, en los términos señalados en el párrafo 121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7.</w:t>
      </w:r>
      <w:r>
        <w:rPr>
          <w:sz w:val="20"/>
          <w:szCs w:val="20"/>
        </w:rPr>
        <w:tab/>
      </w:r>
      <w:r w:rsidRPr="00B02373">
        <w:rPr>
          <w:sz w:val="20"/>
          <w:szCs w:val="20"/>
        </w:rPr>
        <w:t xml:space="preserve">Publicará y difundirá la </w:t>
      </w:r>
      <w:bookmarkStart w:id="0" w:name="_GoBack"/>
      <w:bookmarkEnd w:id="0"/>
      <w:r w:rsidRPr="00B02373">
        <w:rPr>
          <w:sz w:val="20"/>
          <w:szCs w:val="20"/>
        </w:rPr>
        <w:t xml:space="preserve">Sentencia, en los términos señalados en los párrafos 122 y 123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8.</w:t>
      </w:r>
      <w:r>
        <w:rPr>
          <w:sz w:val="20"/>
          <w:szCs w:val="20"/>
        </w:rPr>
        <w:tab/>
      </w:r>
      <w:r w:rsidRPr="00B02373">
        <w:rPr>
          <w:sz w:val="20"/>
          <w:szCs w:val="20"/>
        </w:rPr>
        <w:t xml:space="preserve">Pagará las cantidades fijadas por daño inmaterial y daño material, en los términos señalados en los párrafos 124 al 128 de la Sentencia, y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9.</w:t>
      </w:r>
      <w:r>
        <w:rPr>
          <w:sz w:val="20"/>
          <w:szCs w:val="20"/>
        </w:rPr>
        <w:tab/>
      </w:r>
      <w:r w:rsidRPr="00B02373">
        <w:rPr>
          <w:sz w:val="20"/>
          <w:szCs w:val="20"/>
        </w:rPr>
        <w:t xml:space="preserve">Pagará la cantidad fijada por concepto de gastos y costas, en los términos señalados en el párrafo 132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10.</w:t>
      </w:r>
      <w:r>
        <w:rPr>
          <w:sz w:val="20"/>
          <w:szCs w:val="20"/>
        </w:rPr>
        <w:tab/>
      </w:r>
      <w:r w:rsidRPr="00B02373">
        <w:rPr>
          <w:sz w:val="20"/>
          <w:szCs w:val="20"/>
        </w:rPr>
        <w:t xml:space="preserve">Incorporará a los buzos miskitos y sus familiares a los programas sociales dirigidos a personas que viven en situación de extrema exclusión social, de conformidad con lo descrito en el párrafo 133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11.</w:t>
      </w:r>
      <w:r>
        <w:rPr>
          <w:sz w:val="20"/>
          <w:szCs w:val="20"/>
        </w:rPr>
        <w:tab/>
      </w:r>
      <w:r w:rsidRPr="00B02373">
        <w:rPr>
          <w:sz w:val="20"/>
          <w:szCs w:val="20"/>
        </w:rPr>
        <w:t xml:space="preserve">Adoptará las medidas tendientes a garantizar una adecuada regulación, fiscalización y supervisión de la actividad de las empresas pesqueras industriales en territorio miskito, de conformidad con lo descrito en los párrafos 134 a 138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12.</w:t>
      </w:r>
      <w:r>
        <w:rPr>
          <w:sz w:val="20"/>
          <w:szCs w:val="20"/>
        </w:rPr>
        <w:tab/>
      </w:r>
      <w:r w:rsidRPr="00B02373">
        <w:rPr>
          <w:sz w:val="20"/>
          <w:szCs w:val="20"/>
        </w:rPr>
        <w:t xml:space="preserve">Implementará las medidas de fortalecimiento del sistema de salud de La Moskitia desde la perspectiva del desarrollo social inclusivo, de conformidad con lo dispuesto en los párrafos 139 a 143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13.</w:t>
      </w:r>
      <w:r>
        <w:rPr>
          <w:sz w:val="20"/>
          <w:szCs w:val="20"/>
        </w:rPr>
        <w:tab/>
      </w:r>
      <w:r w:rsidRPr="00B02373">
        <w:rPr>
          <w:sz w:val="20"/>
          <w:szCs w:val="20"/>
        </w:rPr>
        <w:t xml:space="preserve">Diseñará e implementará una campaña de sensibilización y concientización de la sociedad hondureña sobre la situación de los miskitos, de conformidad con lo establecido en el párrafo 144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14.</w:t>
      </w:r>
      <w:r>
        <w:rPr>
          <w:sz w:val="20"/>
          <w:szCs w:val="20"/>
        </w:rPr>
        <w:tab/>
      </w:r>
      <w:r w:rsidRPr="00B02373">
        <w:rPr>
          <w:sz w:val="20"/>
          <w:szCs w:val="20"/>
        </w:rPr>
        <w:t xml:space="preserve">Realizará una investigación exhaustiva de los hechos, identificación, juzgamiento y sanción de los responsables de los accidentes sufridos por las víctimas, de conformidad con lo establecido en el párrafo 145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lastRenderedPageBreak/>
        <w:t>15.</w:t>
      </w:r>
      <w:r>
        <w:rPr>
          <w:sz w:val="20"/>
          <w:szCs w:val="20"/>
        </w:rPr>
        <w:tab/>
      </w:r>
      <w:r w:rsidRPr="00B02373">
        <w:rPr>
          <w:sz w:val="20"/>
          <w:szCs w:val="20"/>
        </w:rPr>
        <w:t xml:space="preserve">Emprenderá una búsqueda exhaustiva del paradero de las víctimas que permanecen desaparecidas, de conformidad con lo establecido en el párrafo 147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16.</w:t>
      </w:r>
      <w:r>
        <w:rPr>
          <w:sz w:val="20"/>
          <w:szCs w:val="20"/>
        </w:rPr>
        <w:tab/>
        <w:t>Ad</w:t>
      </w:r>
      <w:r w:rsidRPr="00B02373">
        <w:rPr>
          <w:sz w:val="20"/>
          <w:szCs w:val="20"/>
        </w:rPr>
        <w:t xml:space="preserve">optará las medidas estructurales necesarias para garantizar el acceso a la justicia en la región de La Moskitia, de conformidad con lo establecido en los párrafos 148 y 149 de la Sentencia. </w:t>
      </w:r>
    </w:p>
    <w:p w:rsidR="00B02373" w:rsidRPr="00B02373" w:rsidRDefault="00B02373" w:rsidP="00626793">
      <w:pPr>
        <w:tabs>
          <w:tab w:val="left" w:pos="720"/>
        </w:tabs>
        <w:ind w:right="-90"/>
        <w:jc w:val="both"/>
        <w:rPr>
          <w:sz w:val="20"/>
          <w:szCs w:val="20"/>
        </w:rPr>
      </w:pPr>
    </w:p>
    <w:p w:rsidR="00B02373" w:rsidRPr="00B02373" w:rsidRDefault="00B02373" w:rsidP="00626793">
      <w:pPr>
        <w:tabs>
          <w:tab w:val="left" w:pos="720"/>
        </w:tabs>
        <w:ind w:right="-90"/>
        <w:jc w:val="both"/>
        <w:rPr>
          <w:sz w:val="20"/>
          <w:szCs w:val="20"/>
        </w:rPr>
      </w:pPr>
      <w:r>
        <w:rPr>
          <w:sz w:val="20"/>
          <w:szCs w:val="20"/>
        </w:rPr>
        <w:t>17.</w:t>
      </w:r>
      <w:r>
        <w:rPr>
          <w:sz w:val="20"/>
          <w:szCs w:val="20"/>
        </w:rPr>
        <w:tab/>
      </w:r>
      <w:r w:rsidRPr="00B02373">
        <w:rPr>
          <w:sz w:val="20"/>
          <w:szCs w:val="20"/>
        </w:rPr>
        <w:t xml:space="preserve">Fortalecerá el sistema educativo en la zona de La Moskitia, de conformidad con lo establecido en el párrafo 150 de la Sentencia. </w:t>
      </w:r>
    </w:p>
    <w:p w:rsidR="00B02373" w:rsidRPr="00B02373" w:rsidRDefault="00B02373" w:rsidP="00626793">
      <w:pPr>
        <w:tabs>
          <w:tab w:val="left" w:pos="720"/>
        </w:tabs>
        <w:ind w:right="-90"/>
        <w:jc w:val="both"/>
        <w:rPr>
          <w:sz w:val="20"/>
          <w:szCs w:val="20"/>
        </w:rPr>
      </w:pPr>
    </w:p>
    <w:p w:rsidR="00626793" w:rsidRPr="00B02373" w:rsidRDefault="00B02373" w:rsidP="00626793">
      <w:pPr>
        <w:tabs>
          <w:tab w:val="left" w:pos="720"/>
        </w:tabs>
        <w:ind w:right="-90"/>
        <w:jc w:val="both"/>
        <w:rPr>
          <w:rFonts w:eastAsia="Cambria" w:cs="Times New Roman"/>
          <w:bCs/>
          <w:sz w:val="20"/>
          <w:szCs w:val="20"/>
          <w:lang w:val="es-ES"/>
        </w:rPr>
      </w:pPr>
      <w:r>
        <w:rPr>
          <w:sz w:val="20"/>
          <w:szCs w:val="20"/>
        </w:rPr>
        <w:t>18.</w:t>
      </w:r>
      <w:r>
        <w:rPr>
          <w:sz w:val="20"/>
          <w:szCs w:val="20"/>
        </w:rPr>
        <w:tab/>
      </w:r>
      <w:r w:rsidRPr="00B02373">
        <w:rPr>
          <w:sz w:val="20"/>
          <w:szCs w:val="20"/>
        </w:rPr>
        <w:t>Adoptará las medidas necesarias para garantizar la accesibilidad de todas las instituciones públicas en la Moskitia para personas con discapacidad, de conformidad con lo establecido en el párrafo 151 de la Sentencia.</w:t>
      </w:r>
    </w:p>
    <w:p w:rsidR="00D3440D" w:rsidRPr="002E376C" w:rsidRDefault="00D3440D" w:rsidP="00D3440D">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46" w:rsidRDefault="00E56346" w:rsidP="009F7EF4">
      <w:r>
        <w:separator/>
      </w:r>
    </w:p>
  </w:endnote>
  <w:endnote w:type="continuationSeparator" w:id="0">
    <w:p w:rsidR="00E56346" w:rsidRDefault="00E5634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46" w:rsidRDefault="00E56346" w:rsidP="009F7EF4">
      <w:r>
        <w:separator/>
      </w:r>
    </w:p>
  </w:footnote>
  <w:footnote w:type="continuationSeparator" w:id="0">
    <w:p w:rsidR="00E56346" w:rsidRDefault="00E5634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860B3">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101CC6"/>
    <w:rsid w:val="001426AA"/>
    <w:rsid w:val="001F3394"/>
    <w:rsid w:val="001F50FB"/>
    <w:rsid w:val="00207B99"/>
    <w:rsid w:val="00296F77"/>
    <w:rsid w:val="002B3295"/>
    <w:rsid w:val="002E376C"/>
    <w:rsid w:val="003A7E5E"/>
    <w:rsid w:val="003C561A"/>
    <w:rsid w:val="00474D04"/>
    <w:rsid w:val="00476F6E"/>
    <w:rsid w:val="00543EFF"/>
    <w:rsid w:val="005A203D"/>
    <w:rsid w:val="005D1A85"/>
    <w:rsid w:val="00617B3E"/>
    <w:rsid w:val="00626793"/>
    <w:rsid w:val="006A777A"/>
    <w:rsid w:val="006C38A6"/>
    <w:rsid w:val="007043D8"/>
    <w:rsid w:val="00727509"/>
    <w:rsid w:val="00792165"/>
    <w:rsid w:val="00834F1A"/>
    <w:rsid w:val="00926FFB"/>
    <w:rsid w:val="009832C0"/>
    <w:rsid w:val="009D22BE"/>
    <w:rsid w:val="009F7EF4"/>
    <w:rsid w:val="00A95B2B"/>
    <w:rsid w:val="00AA6B2F"/>
    <w:rsid w:val="00AE0035"/>
    <w:rsid w:val="00B02373"/>
    <w:rsid w:val="00B11B9B"/>
    <w:rsid w:val="00B32A37"/>
    <w:rsid w:val="00B33305"/>
    <w:rsid w:val="00BA6BA9"/>
    <w:rsid w:val="00BC5824"/>
    <w:rsid w:val="00C4747D"/>
    <w:rsid w:val="00C807CF"/>
    <w:rsid w:val="00D3440D"/>
    <w:rsid w:val="00E34BC6"/>
    <w:rsid w:val="00E42392"/>
    <w:rsid w:val="00E56346"/>
    <w:rsid w:val="00E85D9E"/>
    <w:rsid w:val="00E860B3"/>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6031"/>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11</cp:revision>
  <cp:lastPrinted>2018-07-09T19:23:00Z</cp:lastPrinted>
  <dcterms:created xsi:type="dcterms:W3CDTF">2018-07-09T19:23:00Z</dcterms:created>
  <dcterms:modified xsi:type="dcterms:W3CDTF">2022-01-17T21:59:00Z</dcterms:modified>
</cp:coreProperties>
</file>